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left"/>
        <w:rPr>
          <w:rFonts w:ascii="Poppins" w:cs="Poppins" w:eastAsia="Poppins" w:hAnsi="Poppins"/>
          <w:b w:val="1"/>
          <w:bCs w:val="1"/>
          <w:color w:val="3e2881"/>
          <w:sz w:val="42"/>
          <w:szCs w:val="42"/>
          <w:highlight w:val="white"/>
        </w:rPr>
      </w:pPr>
      <w:r w:rsidDel="00000000" w:rsidR="00000000" w:rsidRPr="00000000">
        <w:rPr>
          <w:rFonts w:ascii="Poppins" w:cs="Poppins" w:eastAsia="Poppins" w:hAnsi="Poppins"/>
          <w:b w:val="1"/>
          <w:bCs w:val="1"/>
          <w:color w:val="3e2881"/>
          <w:sz w:val="42"/>
          <w:szCs w:val="42"/>
          <w:highlight w:val="white"/>
          <w:rtl w:val="0"/>
        </w:rPr>
        <w:t xml:space="preserve"> </w:t>
      </w:r>
    </w:p>
    <w:p w:rsidR="00000000" w:rsidDel="00000000" w:rsidP="00000000" w:rsidRDefault="00000000" w:rsidRPr="00000000" w14:paraId="00000002">
      <w:pPr>
        <w:spacing w:after="0" w:before="0" w:line="240" w:lineRule="auto"/>
        <w:jc w:val="center"/>
        <w:rPr>
          <w:rFonts w:ascii="Poppins" w:cs="Poppins" w:eastAsia="Poppins" w:hAnsi="Poppins"/>
          <w:b w:val="1"/>
          <w:bCs w:val="1"/>
          <w:color w:val="3e2881"/>
          <w:sz w:val="38"/>
          <w:szCs w:val="38"/>
          <w:highlight w:val="white"/>
          <w:u w:val="single"/>
        </w:rPr>
      </w:pPr>
      <w:r w:rsidDel="00000000" w:rsidR="00000000" w:rsidRPr="00000000">
        <w:rPr>
          <w:rFonts w:ascii="Poppins" w:cs="Poppins" w:eastAsia="Poppins" w:hAnsi="Poppins"/>
          <w:b w:val="1"/>
          <w:bCs w:val="1"/>
          <w:color w:val="3e2881"/>
          <w:sz w:val="38"/>
          <w:szCs w:val="38"/>
          <w:highlight w:val="white"/>
          <w:u w:val="single"/>
          <w:rtl w:val="0"/>
        </w:rPr>
        <w:t xml:space="preserve">Baromètre </w:t>
      </w:r>
      <w:r w:rsidDel="00000000" w:rsidR="00000000" w:rsidRPr="00000000">
        <w:rPr>
          <w:rFonts w:ascii="Poppins" w:cs="Poppins" w:eastAsia="Poppins" w:hAnsi="Poppins"/>
          <w:b w:val="1"/>
          <w:bCs w:val="1"/>
          <w:color w:val="3e2881"/>
          <w:sz w:val="38"/>
          <w:szCs w:val="38"/>
          <w:highlight w:val="white"/>
          <w:u w:val="single"/>
          <w:rtl w:val="0"/>
        </w:rPr>
        <w:t xml:space="preserve">Emploi-Formation</w:t>
      </w:r>
      <w:r w:rsidDel="00000000" w:rsidR="00000000" w:rsidRPr="00000000">
        <w:rPr>
          <w:rFonts w:ascii="Poppins" w:cs="Poppins" w:eastAsia="Poppins" w:hAnsi="Poppins"/>
          <w:b w:val="1"/>
          <w:bCs w:val="1"/>
          <w:color w:val="3e2881"/>
          <w:sz w:val="38"/>
          <w:szCs w:val="38"/>
          <w:highlight w:val="white"/>
          <w:u w:val="single"/>
          <w:rtl w:val="0"/>
        </w:rPr>
        <w:t xml:space="preserve"> 2025</w:t>
      </w:r>
    </w:p>
    <w:p w:rsidR="00000000" w:rsidDel="00000000" w:rsidP="00000000" w:rsidRDefault="00000000" w:rsidRPr="00000000" w14:paraId="00000003">
      <w:pPr>
        <w:spacing w:after="0" w:before="0" w:line="240" w:lineRule="auto"/>
        <w:jc w:val="center"/>
        <w:rPr>
          <w:rFonts w:ascii="Poppins" w:cs="Poppins" w:eastAsia="Poppins" w:hAnsi="Poppins"/>
          <w:b w:val="1"/>
          <w:bCs w:val="1"/>
          <w:color w:val="3e2881"/>
          <w:sz w:val="40"/>
          <w:szCs w:val="40"/>
        </w:rPr>
      </w:pPr>
      <w:r w:rsidDel="00000000" w:rsidR="00000000" w:rsidRPr="00000000">
        <w:rPr>
          <w:rFonts w:ascii="Poppins" w:cs="Poppins" w:eastAsia="Poppins" w:hAnsi="Poppins"/>
          <w:b w:val="1"/>
          <w:bCs w:val="1"/>
          <w:color w:val="3e2881"/>
          <w:sz w:val="40"/>
          <w:szCs w:val="40"/>
          <w:rtl w:val="0"/>
        </w:rPr>
        <w:t xml:space="preserve">Secteur privé de la santé, du social, du </w:t>
      </w:r>
      <w:r w:rsidDel="00000000" w:rsidR="00000000" w:rsidRPr="00000000">
        <w:rPr>
          <w:rFonts w:ascii="Poppins" w:cs="Poppins" w:eastAsia="Poppins" w:hAnsi="Poppins"/>
          <w:b w:val="1"/>
          <w:bCs w:val="1"/>
          <w:color w:val="3e2881"/>
          <w:sz w:val="40"/>
          <w:szCs w:val="40"/>
          <w:rtl w:val="0"/>
        </w:rPr>
        <w:t xml:space="preserve">médico-social</w:t>
      </w:r>
      <w:r w:rsidDel="00000000" w:rsidR="00000000" w:rsidRPr="00000000">
        <w:rPr>
          <w:rFonts w:ascii="Poppins" w:cs="Poppins" w:eastAsia="Poppins" w:hAnsi="Poppins"/>
          <w:b w:val="1"/>
          <w:bCs w:val="1"/>
          <w:color w:val="3e2881"/>
          <w:sz w:val="40"/>
          <w:szCs w:val="40"/>
          <w:rtl w:val="0"/>
        </w:rPr>
        <w:t xml:space="preserve"> et de la santé au travail :</w:t>
      </w:r>
    </w:p>
    <w:p w:rsidR="00000000" w:rsidDel="00000000" w:rsidP="00000000" w:rsidRDefault="00000000" w:rsidRPr="00000000" w14:paraId="00000004">
      <w:pPr>
        <w:spacing w:after="0" w:before="0" w:line="240" w:lineRule="auto"/>
        <w:jc w:val="center"/>
        <w:rPr>
          <w:rFonts w:ascii="Poppins" w:cs="Poppins" w:eastAsia="Poppins" w:hAnsi="Poppins"/>
          <w:b w:val="1"/>
          <w:bCs w:val="1"/>
          <w:color w:val="3e2881"/>
          <w:sz w:val="40"/>
          <w:szCs w:val="40"/>
          <w:highlight w:val="white"/>
        </w:rPr>
      </w:pPr>
      <w:r w:rsidDel="00000000" w:rsidR="00000000" w:rsidRPr="00000000">
        <w:rPr>
          <w:rFonts w:ascii="Poppins" w:cs="Poppins" w:eastAsia="Poppins" w:hAnsi="Poppins"/>
          <w:b w:val="1"/>
          <w:bCs w:val="1"/>
          <w:color w:val="3e2881"/>
          <w:sz w:val="40"/>
          <w:szCs w:val="40"/>
          <w:highlight w:val="white"/>
          <w:rtl w:val="0"/>
        </w:rPr>
        <w:t xml:space="preserve">Un secteur essentiel mobilisé pour l’avenir</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0" w:before="0" w:line="240" w:lineRule="auto"/>
        <w:ind w:left="0" w:firstLine="0"/>
        <w:jc w:val="both"/>
        <w:rPr>
          <w:rFonts w:ascii="Poppins" w:cs="Poppins" w:eastAsia="Poppins" w:hAnsi="Poppins"/>
          <w:color w:val="3e2881"/>
          <w:highlight w:val="white"/>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rFonts w:ascii="Poppins" w:cs="Poppins" w:eastAsia="Poppins" w:hAnsi="Poppins"/>
          <w:color w:val="3e2881"/>
          <w:highlight w:val="white"/>
        </w:rPr>
      </w:pPr>
      <w:r w:rsidDel="00000000" w:rsidR="00000000" w:rsidRPr="00000000">
        <w:rPr>
          <w:rtl w:val="0"/>
        </w:rPr>
      </w:r>
    </w:p>
    <w:p w:rsidR="00000000" w:rsidDel="00000000" w:rsidP="00000000" w:rsidRDefault="00000000" w:rsidRPr="00000000" w14:paraId="00000007">
      <w:pPr>
        <w:spacing w:after="0" w:before="0" w:line="240" w:lineRule="auto"/>
        <w:jc w:val="both"/>
        <w:rPr>
          <w:rFonts w:ascii="Poppins" w:cs="Poppins" w:eastAsia="Poppins" w:hAnsi="Poppins"/>
          <w:b w:val="1"/>
          <w:bCs w:val="1"/>
          <w:color w:val="3e2881"/>
          <w:sz w:val="20"/>
          <w:szCs w:val="20"/>
          <w:highlight w:val="white"/>
        </w:rPr>
      </w:pPr>
      <w:r w:rsidDel="00000000" w:rsidR="00000000" w:rsidRPr="00000000">
        <w:rPr>
          <w:rFonts w:ascii="Poppins" w:cs="Poppins" w:eastAsia="Poppins" w:hAnsi="Poppins"/>
          <w:b w:val="1"/>
          <w:bCs w:val="1"/>
          <w:color w:val="3e2881"/>
          <w:sz w:val="20"/>
          <w:szCs w:val="20"/>
          <w:highlight w:val="white"/>
          <w:rtl w:val="0"/>
        </w:rPr>
        <w:t xml:space="preserve">Paris, le 26 mars 2026. L'OPCO Santé révèle les résultats de son Baromètre Emploi-Formation 2025.  Avec plus d'1,16 million de salariés, le secteur privé de la santé, du social, du médico-social et de la santé au travail  représente 4,3% de l'emploi salarié en France. Ce baromètre de référence dresse un état des lieux lucide des perspectives d’emploi et de formation d'un secteur essentiel, résolument mobilisé pour préparer son avenir.</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rFonts w:ascii="Poppins" w:cs="Poppins" w:eastAsia="Poppins" w:hAnsi="Poppins"/>
          <w:color w:val="4b2b72"/>
          <w:highlight w:val="white"/>
        </w:rPr>
      </w:pPr>
      <w:r w:rsidDel="00000000" w:rsidR="00000000" w:rsidRPr="00000000">
        <w:rPr>
          <w:rFonts w:ascii="Poppins" w:cs="Poppins" w:eastAsia="Poppins" w:hAnsi="Poppins"/>
          <w:color w:val="4b2b72"/>
          <w:highlight w:val="white"/>
          <w:rtl w:val="0"/>
        </w:rPr>
        <w:t xml:space="preserve"> </w:t>
      </w:r>
    </w:p>
    <w:p w:rsidR="00000000" w:rsidDel="00000000" w:rsidP="00000000" w:rsidRDefault="00000000" w:rsidRPr="00000000" w14:paraId="00000009">
      <w:pPr>
        <w:spacing w:after="240" w:before="240" w:line="240" w:lineRule="auto"/>
        <w:jc w:val="both"/>
        <w:rPr>
          <w:rFonts w:ascii="Poppins" w:cs="Poppins" w:eastAsia="Poppins" w:hAnsi="Poppins"/>
          <w:b w:val="1"/>
          <w:bCs w:val="1"/>
          <w:color w:val="c0002d"/>
          <w:sz w:val="16"/>
          <w:szCs w:val="16"/>
          <w:highlight w:val="white"/>
        </w:rPr>
      </w:pPr>
      <w:r w:rsidDel="00000000" w:rsidR="00000000" w:rsidRPr="00000000">
        <w:rPr>
          <w:rFonts w:ascii="Poppins" w:cs="Poppins" w:eastAsia="Poppins" w:hAnsi="Poppins"/>
          <w:b w:val="1"/>
          <w:bCs w:val="1"/>
          <w:color w:val="c0002d"/>
          <w:sz w:val="26"/>
          <w:szCs w:val="26"/>
          <w:highlight w:val="white"/>
          <w:rtl w:val="0"/>
        </w:rPr>
        <w:t xml:space="preserve">Un secteur structurant et des emplois stables</w:t>
      </w:r>
      <w:r w:rsidDel="00000000" w:rsidR="00000000" w:rsidRPr="00000000">
        <w:rPr>
          <w:rtl w:val="0"/>
        </w:rPr>
      </w:r>
    </w:p>
    <w:p w:rsidR="00000000" w:rsidDel="00000000" w:rsidP="00000000" w:rsidRDefault="00000000" w:rsidRPr="00000000" w14:paraId="0000000A">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Les branches professionnelles de l’OPCO Santé </w:t>
      </w:r>
      <w:r w:rsidDel="00000000" w:rsidR="00000000" w:rsidRPr="00000000">
        <w:rPr>
          <w:rFonts w:ascii="Poppins" w:cs="Poppins" w:eastAsia="Poppins" w:hAnsi="Poppins"/>
          <w:color w:val="3e2881"/>
          <w:sz w:val="20"/>
          <w:szCs w:val="20"/>
          <w:highlight w:val="white"/>
          <w:rtl w:val="0"/>
        </w:rPr>
        <w:t xml:space="preserve">(</w:t>
      </w:r>
      <w:r w:rsidDel="00000000" w:rsidR="00000000" w:rsidRPr="00000000">
        <w:rPr>
          <w:rFonts w:ascii="Poppins" w:cs="Poppins" w:eastAsia="Poppins" w:hAnsi="Poppins"/>
          <w:color w:val="4b2b72"/>
          <w:sz w:val="19"/>
          <w:szCs w:val="19"/>
          <w:rtl w:val="0"/>
        </w:rPr>
        <w:t xml:space="preserve">le secteur sanitaire, social et médico-social privé à but non-lucratif, l’hospitalisation privée à statut commercial incluant le thermalisme et les services de prévention et de santé au travail interentreprises)</w:t>
      </w:r>
      <w:r w:rsidDel="00000000" w:rsidR="00000000" w:rsidRPr="00000000">
        <w:rPr>
          <w:rFonts w:ascii="Poppins" w:cs="Poppins" w:eastAsia="Poppins" w:hAnsi="Poppins"/>
          <w:color w:val="4b2b72"/>
          <w:sz w:val="19"/>
          <w:szCs w:val="19"/>
          <w:rtl w:val="0"/>
        </w:rPr>
        <w:t xml:space="preserve"> </w:t>
      </w:r>
      <w:r w:rsidDel="00000000" w:rsidR="00000000" w:rsidRPr="00000000">
        <w:rPr>
          <w:rFonts w:ascii="Poppins" w:cs="Poppins" w:eastAsia="Poppins" w:hAnsi="Poppins"/>
          <w:color w:val="4b2b72"/>
          <w:sz w:val="15"/>
          <w:szCs w:val="15"/>
          <w:rtl w:val="0"/>
        </w:rPr>
        <w:t xml:space="preserve"> </w:t>
      </w:r>
      <w:r w:rsidDel="00000000" w:rsidR="00000000" w:rsidRPr="00000000">
        <w:rPr>
          <w:rFonts w:ascii="Poppins" w:cs="Poppins" w:eastAsia="Poppins" w:hAnsi="Poppins"/>
          <w:color w:val="3e2881"/>
          <w:sz w:val="20"/>
          <w:szCs w:val="20"/>
          <w:highlight w:val="white"/>
          <w:rtl w:val="0"/>
        </w:rPr>
        <w:t xml:space="preserve">couvrent </w:t>
      </w:r>
      <w:r w:rsidDel="00000000" w:rsidR="00000000" w:rsidRPr="00000000">
        <w:rPr>
          <w:rFonts w:ascii="Poppins" w:cs="Poppins" w:eastAsia="Poppins" w:hAnsi="Poppins"/>
          <w:b w:val="1"/>
          <w:bCs w:val="1"/>
          <w:color w:val="3e2881"/>
          <w:sz w:val="20"/>
          <w:szCs w:val="20"/>
          <w:highlight w:val="white"/>
          <w:rtl w:val="0"/>
        </w:rPr>
        <w:t xml:space="preserve">30 % des effectifs du champ </w:t>
      </w:r>
      <w:r w:rsidDel="00000000" w:rsidR="00000000" w:rsidRPr="00000000">
        <w:rPr>
          <w:rFonts w:ascii="Poppins" w:cs="Poppins" w:eastAsia="Poppins" w:hAnsi="Poppins"/>
          <w:color w:val="3e2881"/>
          <w:sz w:val="20"/>
          <w:szCs w:val="20"/>
          <w:highlight w:val="white"/>
          <w:rtl w:val="0"/>
        </w:rPr>
        <w:t xml:space="preserve">santé et action sociale, répartis dans plus de 10 500 structures. </w:t>
      </w:r>
      <w:r w:rsidDel="00000000" w:rsidR="00000000" w:rsidRPr="00000000">
        <w:rPr>
          <w:rFonts w:ascii="Poppins" w:cs="Poppins" w:eastAsia="Poppins" w:hAnsi="Poppins"/>
          <w:b w:val="1"/>
          <w:bCs w:val="1"/>
          <w:color w:val="3e2881"/>
          <w:sz w:val="20"/>
          <w:szCs w:val="20"/>
          <w:highlight w:val="white"/>
          <w:rtl w:val="0"/>
        </w:rPr>
        <w:t xml:space="preserve">83 % des salariés sont en CDI</w:t>
      </w:r>
      <w:r w:rsidDel="00000000" w:rsidR="00000000" w:rsidRPr="00000000">
        <w:rPr>
          <w:rFonts w:ascii="Poppins" w:cs="Poppins" w:eastAsia="Poppins" w:hAnsi="Poppins"/>
          <w:color w:val="3e2881"/>
          <w:sz w:val="20"/>
          <w:szCs w:val="20"/>
          <w:highlight w:val="white"/>
          <w:rtl w:val="0"/>
        </w:rPr>
        <w:t xml:space="preserve"> </w:t>
      </w:r>
      <w:r w:rsidDel="00000000" w:rsidR="00000000" w:rsidRPr="00000000">
        <w:rPr>
          <w:rFonts w:ascii="Poppins" w:cs="Poppins" w:eastAsia="Poppins" w:hAnsi="Poppins"/>
          <w:b w:val="1"/>
          <w:bCs w:val="1"/>
          <w:color w:val="3e2881"/>
          <w:sz w:val="20"/>
          <w:szCs w:val="20"/>
          <w:highlight w:val="white"/>
          <w:rtl w:val="0"/>
        </w:rPr>
        <w:t xml:space="preserve">et 77 % travaillent à temps plein, </w:t>
      </w:r>
      <w:r w:rsidDel="00000000" w:rsidR="00000000" w:rsidRPr="00000000">
        <w:rPr>
          <w:rFonts w:ascii="Poppins" w:cs="Poppins" w:eastAsia="Poppins" w:hAnsi="Poppins"/>
          <w:color w:val="3e2881"/>
          <w:sz w:val="20"/>
          <w:szCs w:val="20"/>
          <w:highlight w:val="white"/>
          <w:rtl w:val="0"/>
        </w:rPr>
        <w:t xml:space="preserve">dans un secteur structurellement féminisé (78 % de femmes).</w:t>
      </w:r>
    </w:p>
    <w:p w:rsidR="00000000" w:rsidDel="00000000" w:rsidP="00000000" w:rsidRDefault="00000000" w:rsidRPr="00000000" w14:paraId="0000000B">
      <w:pPr>
        <w:spacing w:after="0" w:before="0" w:line="240" w:lineRule="auto"/>
        <w:jc w:val="both"/>
        <w:rPr>
          <w:rFonts w:ascii="Poppins" w:cs="Poppins" w:eastAsia="Poppins" w:hAnsi="Poppins"/>
          <w:color w:val="3e2881"/>
          <w:sz w:val="14"/>
          <w:szCs w:val="14"/>
          <w:highlight w:val="white"/>
        </w:rPr>
      </w:pPr>
      <w:r w:rsidDel="00000000" w:rsidR="00000000" w:rsidRPr="00000000">
        <w:rPr>
          <w:rtl w:val="0"/>
        </w:rPr>
      </w:r>
    </w:p>
    <w:p w:rsidR="00000000" w:rsidDel="00000000" w:rsidP="00000000" w:rsidRDefault="00000000" w:rsidRPr="00000000" w14:paraId="0000000C">
      <w:pPr>
        <w:spacing w:after="0" w:before="0" w:line="240" w:lineRule="auto"/>
        <w:jc w:val="both"/>
        <w:rPr>
          <w:rFonts w:ascii="Poppins" w:cs="Poppins" w:eastAsia="Poppins" w:hAnsi="Poppins"/>
          <w:color w:val="3e2881"/>
          <w:sz w:val="20"/>
          <w:szCs w:val="20"/>
        </w:rPr>
      </w:pPr>
      <w:r w:rsidDel="00000000" w:rsidR="00000000" w:rsidRPr="00000000">
        <w:rPr>
          <w:rFonts w:ascii="Poppins" w:cs="Poppins" w:eastAsia="Poppins" w:hAnsi="Poppins"/>
          <w:b w:val="1"/>
          <w:bCs w:val="1"/>
          <w:color w:val="3e2881"/>
          <w:sz w:val="20"/>
          <w:szCs w:val="20"/>
          <w:highlight w:val="white"/>
          <w:rtl w:val="0"/>
        </w:rPr>
        <w:t xml:space="preserve">Avec un âge moyen de 42 ans et 20 % des effectifs âgés de plus de 55 ans</w:t>
      </w:r>
      <w:r w:rsidDel="00000000" w:rsidR="00000000" w:rsidRPr="00000000">
        <w:rPr>
          <w:rFonts w:ascii="Poppins" w:cs="Poppins" w:eastAsia="Poppins" w:hAnsi="Poppins"/>
          <w:color w:val="3e2881"/>
          <w:sz w:val="20"/>
          <w:szCs w:val="20"/>
          <w:highlight w:val="white"/>
          <w:rtl w:val="0"/>
        </w:rPr>
        <w:t xml:space="preserve">, le secteur devra accompagner dans les prochaines années une vague significative de transitions. Le développement de l’apprentissage appelle à être poursuiv</w:t>
      </w:r>
      <w:r w:rsidDel="00000000" w:rsidR="00000000" w:rsidRPr="00000000">
        <w:rPr>
          <w:rFonts w:ascii="Poppins" w:cs="Poppins" w:eastAsia="Poppins" w:hAnsi="Poppins"/>
          <w:color w:val="3e2881"/>
          <w:sz w:val="20"/>
          <w:szCs w:val="20"/>
          <w:rtl w:val="0"/>
        </w:rPr>
        <w:t xml:space="preserve">i et </w:t>
      </w:r>
      <w:r w:rsidDel="00000000" w:rsidR="00000000" w:rsidRPr="00000000">
        <w:rPr>
          <w:rFonts w:ascii="Poppins" w:cs="Poppins" w:eastAsia="Poppins" w:hAnsi="Poppins"/>
          <w:color w:val="3e2881"/>
          <w:sz w:val="20"/>
          <w:szCs w:val="20"/>
          <w:rtl w:val="0"/>
        </w:rPr>
        <w:t xml:space="preserve">amplifié.</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rFonts w:ascii="Poppins" w:cs="Poppins" w:eastAsia="Poppins" w:hAnsi="Poppins"/>
          <w:color w:val="4b2b72"/>
          <w:highlight w:val="white"/>
        </w:rPr>
      </w:pPr>
      <w:r w:rsidDel="00000000" w:rsidR="00000000" w:rsidRPr="00000000">
        <w:rPr>
          <w:rFonts w:ascii="Poppins" w:cs="Poppins" w:eastAsia="Poppins" w:hAnsi="Poppins"/>
          <w:color w:val="4b2b72"/>
          <w:highlight w:val="white"/>
          <w:rtl w:val="0"/>
        </w:rPr>
        <w:t xml:space="preserve"> </w:t>
      </w:r>
    </w:p>
    <w:p w:rsidR="00000000" w:rsidDel="00000000" w:rsidP="00000000" w:rsidRDefault="00000000" w:rsidRPr="00000000" w14:paraId="0000000E">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b w:val="1"/>
          <w:bCs w:val="1"/>
          <w:color w:val="c0002d"/>
          <w:sz w:val="26"/>
          <w:szCs w:val="26"/>
          <w:highlight w:val="white"/>
          <w:rtl w:val="0"/>
        </w:rPr>
        <w:t xml:space="preserve">Un marché de l’emploi sous tension, des besoins qui s’intensifient</w:t>
      </w:r>
      <w:r w:rsidDel="00000000" w:rsidR="00000000" w:rsidRPr="00000000">
        <w:rPr>
          <w:rtl w:val="0"/>
        </w:rPr>
      </w:r>
    </w:p>
    <w:p w:rsidR="00000000" w:rsidDel="00000000" w:rsidP="00000000" w:rsidRDefault="00000000" w:rsidRPr="00000000" w14:paraId="0000000F">
      <w:pPr>
        <w:spacing w:after="0" w:before="0" w:line="240" w:lineRule="auto"/>
        <w:jc w:val="both"/>
        <w:rPr>
          <w:rFonts w:ascii="Poppins" w:cs="Poppins" w:eastAsia="Poppins" w:hAnsi="Poppins"/>
          <w:color w:val="3e2881"/>
          <w:sz w:val="12"/>
          <w:szCs w:val="12"/>
        </w:rPr>
      </w:pPr>
      <w:r w:rsidDel="00000000" w:rsidR="00000000" w:rsidRPr="00000000">
        <w:rPr>
          <w:rtl w:val="0"/>
        </w:rPr>
      </w:r>
    </w:p>
    <w:p w:rsidR="00000000" w:rsidDel="00000000" w:rsidP="00000000" w:rsidRDefault="00000000" w:rsidRPr="00000000" w14:paraId="00000010">
      <w:pPr>
        <w:spacing w:line="276" w:lineRule="auto"/>
        <w:jc w:val="both"/>
        <w:rPr>
          <w:color w:val="3e2881"/>
          <w:sz w:val="20"/>
          <w:szCs w:val="20"/>
        </w:rPr>
      </w:pPr>
      <w:r w:rsidDel="00000000" w:rsidR="00000000" w:rsidRPr="00000000">
        <w:rPr>
          <w:rFonts w:ascii="Poppins" w:cs="Poppins" w:eastAsia="Poppins" w:hAnsi="Poppins"/>
          <w:color w:val="3e2881"/>
          <w:sz w:val="20"/>
          <w:szCs w:val="20"/>
          <w:rtl w:val="0"/>
        </w:rPr>
        <w:t xml:space="preserve">Près d’un établissement sur deux déclare avoir des difficultés de recrutement. Les métiers les plus concernés : aide-soignant, infirmier, éducateur spécialisé, </w:t>
      </w:r>
      <w:r w:rsidDel="00000000" w:rsidR="00000000" w:rsidRPr="00000000">
        <w:rPr>
          <w:rFonts w:ascii="Poppins" w:cs="Poppins" w:eastAsia="Poppins" w:hAnsi="Poppins"/>
          <w:color w:val="3e2881"/>
          <w:sz w:val="20"/>
          <w:szCs w:val="20"/>
          <w:rtl w:val="0"/>
        </w:rPr>
        <w:t xml:space="preserve">médecins</w:t>
      </w:r>
      <w:r w:rsidDel="00000000" w:rsidR="00000000" w:rsidRPr="00000000">
        <w:rPr>
          <w:rFonts w:ascii="Poppins" w:cs="Poppins" w:eastAsia="Poppins" w:hAnsi="Poppins"/>
          <w:color w:val="3e2881"/>
          <w:sz w:val="20"/>
          <w:szCs w:val="20"/>
          <w:rtl w:val="0"/>
        </w:rPr>
        <w:t xml:space="preserve"> … </w:t>
      </w:r>
      <w:r w:rsidDel="00000000" w:rsidR="00000000" w:rsidRPr="00000000">
        <w:rPr>
          <w:rFonts w:ascii="Poppins" w:cs="Poppins" w:eastAsia="Poppins" w:hAnsi="Poppins"/>
          <w:color w:val="3e2881"/>
          <w:sz w:val="20"/>
          <w:szCs w:val="20"/>
          <w:rtl w:val="0"/>
        </w:rPr>
        <w:t xml:space="preserve">et ceux concentrant </w:t>
      </w:r>
      <w:r w:rsidDel="00000000" w:rsidR="00000000" w:rsidRPr="00000000">
        <w:rPr>
          <w:rFonts w:ascii="Poppins" w:cs="Poppins" w:eastAsia="Poppins" w:hAnsi="Poppins"/>
          <w:color w:val="3e2881"/>
          <w:sz w:val="20"/>
          <w:szCs w:val="20"/>
          <w:rtl w:val="0"/>
        </w:rPr>
        <w:t xml:space="preserve">les plus forts volumes de postes à pourvoir : </w:t>
      </w:r>
      <w:r w:rsidDel="00000000" w:rsidR="00000000" w:rsidRPr="00000000">
        <w:rPr>
          <w:rFonts w:ascii="Poppins" w:cs="Poppins" w:eastAsia="Poppins" w:hAnsi="Poppins"/>
          <w:b w:val="1"/>
          <w:bCs w:val="1"/>
          <w:color w:val="3e2881"/>
          <w:sz w:val="20"/>
          <w:szCs w:val="20"/>
          <w:rtl w:val="0"/>
        </w:rPr>
        <w:t xml:space="preserve">plus de 10 000 postes à pourvoir pour les aides-soignants et les infirmiers</w:t>
      </w:r>
      <w:r w:rsidDel="00000000" w:rsidR="00000000" w:rsidRPr="00000000">
        <w:rPr>
          <w:rFonts w:ascii="Poppins" w:cs="Poppins" w:eastAsia="Poppins" w:hAnsi="Poppins"/>
          <w:color w:val="3e2881"/>
          <w:sz w:val="20"/>
          <w:szCs w:val="20"/>
          <w:rtl w:val="0"/>
        </w:rPr>
        <w:t xml:space="preserve">.</w:t>
      </w:r>
      <w:r w:rsidDel="00000000" w:rsidR="00000000" w:rsidRPr="00000000">
        <w:rPr>
          <w:rtl w:val="0"/>
        </w:rPr>
      </w:r>
    </w:p>
    <w:p w:rsidR="00000000" w:rsidDel="00000000" w:rsidP="00000000" w:rsidRDefault="00000000" w:rsidRPr="00000000" w14:paraId="00000011">
      <w:pPr>
        <w:spacing w:after="0" w:before="0" w:line="240" w:lineRule="auto"/>
        <w:jc w:val="both"/>
        <w:rPr>
          <w:rFonts w:ascii="Poppins" w:cs="Poppins" w:eastAsia="Poppins" w:hAnsi="Poppins"/>
          <w:color w:val="3e2881"/>
          <w:sz w:val="20"/>
          <w:szCs w:val="20"/>
          <w:highlight w:val="white"/>
        </w:rPr>
      </w:pPr>
      <w:r w:rsidDel="00000000" w:rsidR="00000000" w:rsidRPr="00000000">
        <w:rPr>
          <w:rtl w:val="0"/>
        </w:rPr>
      </w:r>
    </w:p>
    <w:p w:rsidR="00000000" w:rsidDel="00000000" w:rsidP="00000000" w:rsidRDefault="00000000" w:rsidRPr="00000000" w14:paraId="00000012">
      <w:pPr>
        <w:spacing w:after="240" w:before="24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Dans ce contexte, les établissements mettent en place différentes solutions pour maintenir la continuité des services : recours aux contrats temporaires, mobilisation accrue des équipes en place, mais </w:t>
      </w:r>
      <w:r w:rsidDel="00000000" w:rsidR="00000000" w:rsidRPr="00000000">
        <w:rPr>
          <w:rFonts w:ascii="Poppins" w:cs="Poppins" w:eastAsia="Poppins" w:hAnsi="Poppins"/>
          <w:color w:val="3e2881"/>
          <w:sz w:val="20"/>
          <w:szCs w:val="20"/>
          <w:highlight w:val="white"/>
          <w:rtl w:val="0"/>
        </w:rPr>
        <w:t xml:space="preserve">aussi le recours à des personnels n'ayant pas le diplôme requis pour exercer</w:t>
      </w:r>
      <w:r w:rsidDel="00000000" w:rsidR="00000000" w:rsidRPr="00000000">
        <w:rPr>
          <w:rFonts w:ascii="Poppins" w:cs="Poppins" w:eastAsia="Poppins" w:hAnsi="Poppins"/>
          <w:color w:val="3e2881"/>
          <w:sz w:val="20"/>
          <w:szCs w:val="20"/>
          <w:highlight w:val="white"/>
          <w:rtl w:val="0"/>
        </w:rPr>
        <w:t xml:space="preserve">.  Ces ajustements organisationnels traduisent les tensions persistantes sur le marché de l’emploi et soulignent l’importance de renforcer les parcours d’accès et de formation aux métiers du secteur.</w:t>
      </w:r>
    </w:p>
    <w:p w:rsidR="00000000" w:rsidDel="00000000" w:rsidP="00000000" w:rsidRDefault="00000000" w:rsidRPr="00000000" w14:paraId="00000013">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La contrainte budgétaire s’ajoute désormais à la pénurie de candidats diplômés : certains établissements se trouvent dans l’impossibilité de financer les postes ouverts, conduisant à différer certains recrutements. Un </w:t>
      </w:r>
      <w:r w:rsidDel="00000000" w:rsidR="00000000" w:rsidRPr="00000000">
        <w:rPr>
          <w:rFonts w:ascii="Poppins" w:cs="Poppins" w:eastAsia="Poppins" w:hAnsi="Poppins"/>
          <w:color w:val="3e2881"/>
          <w:sz w:val="20"/>
          <w:szCs w:val="20"/>
          <w:highlight w:val="white"/>
          <w:rtl w:val="0"/>
        </w:rPr>
        <w:t xml:space="preserve">paramètre nouveau</w:t>
      </w:r>
      <w:r w:rsidDel="00000000" w:rsidR="00000000" w:rsidRPr="00000000">
        <w:rPr>
          <w:rFonts w:ascii="Poppins" w:cs="Poppins" w:eastAsia="Poppins" w:hAnsi="Poppins"/>
          <w:color w:val="3e2881"/>
          <w:sz w:val="20"/>
          <w:szCs w:val="20"/>
          <w:highlight w:val="white"/>
          <w:rtl w:val="0"/>
        </w:rPr>
        <w:t xml:space="preserve">, absent des éditions précédentes, qui appelle une réflexion sur les modèles de financement du secteur.</w:t>
      </w:r>
    </w:p>
    <w:p w:rsidR="00000000" w:rsidDel="00000000" w:rsidP="00000000" w:rsidRDefault="00000000" w:rsidRPr="00000000" w14:paraId="00000014">
      <w:pPr>
        <w:spacing w:after="0" w:before="0" w:line="240" w:lineRule="auto"/>
        <w:jc w:val="both"/>
        <w:rPr>
          <w:rFonts w:ascii="Poppins" w:cs="Poppins" w:eastAsia="Poppins" w:hAnsi="Poppins"/>
          <w:color w:val="3e2881"/>
          <w:sz w:val="12"/>
          <w:szCs w:val="12"/>
          <w:highlight w:val="white"/>
        </w:rPr>
      </w:pPr>
      <w:r w:rsidDel="00000000" w:rsidR="00000000" w:rsidRPr="00000000">
        <w:rPr>
          <w:rtl w:val="0"/>
        </w:rPr>
      </w:r>
    </w:p>
    <w:p w:rsidR="00000000" w:rsidDel="00000000" w:rsidP="00000000" w:rsidRDefault="00000000" w:rsidRPr="00000000" w14:paraId="00000015">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b w:val="1"/>
          <w:bCs w:val="1"/>
          <w:color w:val="3e2881"/>
          <w:sz w:val="20"/>
          <w:szCs w:val="20"/>
          <w:highlight w:val="white"/>
          <w:rtl w:val="0"/>
        </w:rPr>
        <w:t xml:space="preserve">À horizon trois ans,</w:t>
      </w:r>
      <w:r w:rsidDel="00000000" w:rsidR="00000000" w:rsidRPr="00000000">
        <w:rPr>
          <w:rFonts w:ascii="Poppins" w:cs="Poppins" w:eastAsia="Poppins" w:hAnsi="Poppins"/>
          <w:color w:val="3e2881"/>
          <w:sz w:val="20"/>
          <w:szCs w:val="20"/>
          <w:highlight w:val="white"/>
          <w:rtl w:val="0"/>
        </w:rPr>
        <w:t xml:space="preserve"> </w:t>
      </w:r>
      <w:r w:rsidDel="00000000" w:rsidR="00000000" w:rsidRPr="00000000">
        <w:rPr>
          <w:rFonts w:ascii="Poppins" w:cs="Poppins" w:eastAsia="Poppins" w:hAnsi="Poppins"/>
          <w:b w:val="1"/>
          <w:bCs w:val="1"/>
          <w:color w:val="3e2881"/>
          <w:sz w:val="20"/>
          <w:szCs w:val="20"/>
          <w:highlight w:val="white"/>
          <w:rtl w:val="0"/>
        </w:rPr>
        <w:t xml:space="preserve">plus de 90 000 départs en retraite</w:t>
      </w:r>
      <w:r w:rsidDel="00000000" w:rsidR="00000000" w:rsidRPr="00000000">
        <w:rPr>
          <w:rFonts w:ascii="Poppins" w:cs="Poppins" w:eastAsia="Poppins" w:hAnsi="Poppins"/>
          <w:color w:val="3e2881"/>
          <w:sz w:val="20"/>
          <w:szCs w:val="20"/>
          <w:highlight w:val="white"/>
          <w:rtl w:val="0"/>
        </w:rPr>
        <w:t xml:space="preserve"> viendront renforcer des besoins déjà significatifs notamment sur les métiers du soin, de l'éducatif ou de la prévention et de la santé au </w:t>
      </w:r>
      <w:r w:rsidDel="00000000" w:rsidR="00000000" w:rsidRPr="00000000">
        <w:rPr>
          <w:rFonts w:ascii="Poppins" w:cs="Poppins" w:eastAsia="Poppins" w:hAnsi="Poppins"/>
          <w:color w:val="3e2881"/>
          <w:sz w:val="20"/>
          <w:szCs w:val="20"/>
          <w:highlight w:val="white"/>
          <w:rtl w:val="0"/>
        </w:rPr>
        <w:t xml:space="preserve">travail</w:t>
      </w:r>
      <w:r w:rsidDel="00000000" w:rsidR="00000000" w:rsidRPr="00000000">
        <w:rPr>
          <w:rFonts w:ascii="Poppins" w:cs="Poppins" w:eastAsia="Poppins" w:hAnsi="Poppins"/>
          <w:color w:val="3e2881"/>
          <w:sz w:val="20"/>
          <w:szCs w:val="20"/>
          <w:highlight w:val="white"/>
          <w:rtl w:val="0"/>
        </w:rPr>
        <w:t xml:space="preserve">, soulignant l’importance d’une anticipation dès aujourd’hui.</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rFonts w:ascii="Poppins" w:cs="Poppins" w:eastAsia="Poppins" w:hAnsi="Poppins"/>
          <w:color w:val="4b2b72"/>
          <w:highlight w:val="white"/>
        </w:rPr>
      </w:pPr>
      <w:r w:rsidDel="00000000" w:rsidR="00000000" w:rsidRPr="00000000">
        <w:rPr>
          <w:rFonts w:ascii="Poppins" w:cs="Poppins" w:eastAsia="Poppins" w:hAnsi="Poppins"/>
          <w:color w:val="4b2b72"/>
          <w:highlight w:val="white"/>
          <w:rtl w:val="0"/>
        </w:rPr>
        <w:t xml:space="preserve"> </w:t>
      </w:r>
    </w:p>
    <w:p w:rsidR="00000000" w:rsidDel="00000000" w:rsidP="00000000" w:rsidRDefault="00000000" w:rsidRPr="00000000" w14:paraId="00000017">
      <w:pPr>
        <w:spacing w:after="0" w:before="0" w:line="240" w:lineRule="auto"/>
        <w:jc w:val="both"/>
        <w:rPr>
          <w:rFonts w:ascii="Poppins" w:cs="Poppins" w:eastAsia="Poppins" w:hAnsi="Poppins"/>
          <w:b w:val="1"/>
          <w:bCs w:val="1"/>
          <w:color w:val="c0002d"/>
          <w:sz w:val="26"/>
          <w:szCs w:val="26"/>
          <w:highlight w:val="white"/>
        </w:rPr>
      </w:pPr>
      <w:r w:rsidDel="00000000" w:rsidR="00000000" w:rsidRPr="00000000">
        <w:rPr>
          <w:rFonts w:ascii="Poppins" w:cs="Poppins" w:eastAsia="Poppins" w:hAnsi="Poppins"/>
          <w:b w:val="1"/>
          <w:bCs w:val="1"/>
          <w:color w:val="c0002d"/>
          <w:sz w:val="26"/>
          <w:szCs w:val="26"/>
          <w:highlight w:val="white"/>
          <w:rtl w:val="0"/>
        </w:rPr>
        <w:t xml:space="preserve">Formation et alternance : un investissement en progression</w:t>
      </w:r>
    </w:p>
    <w:p w:rsidR="00000000" w:rsidDel="00000000" w:rsidP="00000000" w:rsidRDefault="00000000" w:rsidRPr="00000000" w14:paraId="00000018">
      <w:pPr>
        <w:spacing w:after="0" w:before="0" w:line="240" w:lineRule="auto"/>
        <w:jc w:val="both"/>
        <w:rPr>
          <w:rFonts w:ascii="Poppins" w:cs="Poppins" w:eastAsia="Poppins" w:hAnsi="Poppins"/>
          <w:b w:val="1"/>
          <w:bCs w:val="1"/>
          <w:color w:val="c0002d"/>
          <w:sz w:val="12"/>
          <w:szCs w:val="12"/>
          <w:highlight w:val="white"/>
        </w:rPr>
      </w:pPr>
      <w:r w:rsidDel="00000000" w:rsidR="00000000" w:rsidRPr="00000000">
        <w:rPr>
          <w:rtl w:val="0"/>
        </w:rPr>
      </w:r>
    </w:p>
    <w:p w:rsidR="00000000" w:rsidDel="00000000" w:rsidP="00000000" w:rsidRDefault="00000000" w:rsidRPr="00000000" w14:paraId="00000019">
      <w:pPr>
        <w:spacing w:after="240" w:before="240" w:line="240" w:lineRule="auto"/>
        <w:jc w:val="both"/>
        <w:rPr>
          <w:rFonts w:ascii="Poppins" w:cs="Poppins" w:eastAsia="Poppins" w:hAnsi="Poppins"/>
          <w:color w:val="3e2881"/>
          <w:sz w:val="14"/>
          <w:szCs w:val="14"/>
          <w:highlight w:val="white"/>
        </w:rPr>
      </w:pPr>
      <w:r w:rsidDel="00000000" w:rsidR="00000000" w:rsidRPr="00000000">
        <w:rPr>
          <w:rFonts w:ascii="Poppins" w:cs="Poppins" w:eastAsia="Poppins" w:hAnsi="Poppins"/>
          <w:color w:val="3e2881"/>
          <w:sz w:val="20"/>
          <w:szCs w:val="20"/>
          <w:highlight w:val="white"/>
          <w:rtl w:val="0"/>
        </w:rPr>
        <w:t xml:space="preserve">Face à ces tensions, l’OPCO Santé a financé en 2024 près de </w:t>
      </w:r>
      <w:r w:rsidDel="00000000" w:rsidR="00000000" w:rsidRPr="00000000">
        <w:rPr>
          <w:rFonts w:ascii="Poppins" w:cs="Poppins" w:eastAsia="Poppins" w:hAnsi="Poppins"/>
          <w:b w:val="1"/>
          <w:bCs w:val="1"/>
          <w:color w:val="3e2881"/>
          <w:sz w:val="20"/>
          <w:szCs w:val="20"/>
          <w:highlight w:val="white"/>
          <w:rtl w:val="0"/>
        </w:rPr>
        <w:t xml:space="preserve">728 000 actions de formation pour un montant total de 619 millions d’euros : un salarié sur deux a bénéficié d’au moins une formation dans l’année.</w:t>
      </w:r>
      <w:r w:rsidDel="00000000" w:rsidR="00000000" w:rsidRPr="00000000">
        <w:rPr>
          <w:rFonts w:ascii="Poppins" w:cs="Poppins" w:eastAsia="Poppins" w:hAnsi="Poppins"/>
          <w:color w:val="3e2881"/>
          <w:sz w:val="20"/>
          <w:szCs w:val="20"/>
          <w:highlight w:val="white"/>
          <w:rtl w:val="0"/>
        </w:rPr>
        <w:t xml:space="preserve"> Cet engagement se traduit notamment par un soutien renforcé aux établissements et associations de moins de 50 salariés, qui concentrent 54 % des formations financées alors qu’elles ne représentent que 27 % des effectifs du secteur.</w:t>
      </w:r>
      <w:r w:rsidDel="00000000" w:rsidR="00000000" w:rsidRPr="00000000">
        <w:rPr>
          <w:rtl w:val="0"/>
        </w:rPr>
      </w:r>
    </w:p>
    <w:p w:rsidR="00000000" w:rsidDel="00000000" w:rsidP="00000000" w:rsidRDefault="00000000" w:rsidRPr="00000000" w14:paraId="0000001A">
      <w:pPr>
        <w:spacing w:after="240" w:before="24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L’alternance confirme son statut de levier stratégique : avec</w:t>
      </w:r>
      <w:r w:rsidDel="00000000" w:rsidR="00000000" w:rsidRPr="00000000">
        <w:rPr>
          <w:rFonts w:ascii="Poppins" w:cs="Poppins" w:eastAsia="Poppins" w:hAnsi="Poppins"/>
          <w:color w:val="3e2881"/>
          <w:sz w:val="20"/>
          <w:szCs w:val="20"/>
          <w:rtl w:val="0"/>
        </w:rPr>
        <w:t xml:space="preserve"> </w:t>
      </w:r>
      <w:r w:rsidDel="00000000" w:rsidR="00000000" w:rsidRPr="00000000">
        <w:rPr>
          <w:rFonts w:ascii="Poppins" w:cs="Poppins" w:eastAsia="Poppins" w:hAnsi="Poppins"/>
          <w:b w:val="1"/>
          <w:bCs w:val="1"/>
          <w:color w:val="3e2881"/>
          <w:sz w:val="20"/>
          <w:szCs w:val="20"/>
          <w:rtl w:val="0"/>
        </w:rPr>
        <w:t xml:space="preserve">1</w:t>
      </w:r>
      <w:r w:rsidDel="00000000" w:rsidR="00000000" w:rsidRPr="00000000">
        <w:rPr>
          <w:rFonts w:ascii="Poppins" w:cs="Poppins" w:eastAsia="Poppins" w:hAnsi="Poppins"/>
          <w:b w:val="1"/>
          <w:bCs w:val="1"/>
          <w:color w:val="3e2881"/>
          <w:sz w:val="20"/>
          <w:szCs w:val="20"/>
          <w:rtl w:val="0"/>
        </w:rPr>
        <w:t xml:space="preserve">8</w:t>
      </w:r>
      <w:r w:rsidDel="00000000" w:rsidR="00000000" w:rsidRPr="00000000">
        <w:rPr>
          <w:rFonts w:ascii="Poppins" w:cs="Poppins" w:eastAsia="Poppins" w:hAnsi="Poppins"/>
          <w:b w:val="1"/>
          <w:bCs w:val="1"/>
          <w:color w:val="3e2881"/>
          <w:sz w:val="20"/>
          <w:szCs w:val="20"/>
          <w:highlight w:val="white"/>
          <w:rtl w:val="0"/>
        </w:rPr>
        <w:t xml:space="preserve"> 720 contrats engagés en 2024, soit plus du double de 2021, </w:t>
      </w:r>
      <w:r w:rsidDel="00000000" w:rsidR="00000000" w:rsidRPr="00000000">
        <w:rPr>
          <w:rFonts w:ascii="Poppins" w:cs="Poppins" w:eastAsia="Poppins" w:hAnsi="Poppins"/>
          <w:color w:val="3e2881"/>
          <w:sz w:val="20"/>
          <w:szCs w:val="20"/>
          <w:highlight w:val="white"/>
          <w:rtl w:val="0"/>
        </w:rPr>
        <w:t xml:space="preserve">elle s’impose comme une voie en forte croissance pour renouveler les équipes. Près de 22 000 formations diplômantes ont été financées, principalement sur les métiers les plus en tension, notamment aide-soignant, infirmier et éducateur spécialisé.</w:t>
      </w:r>
    </w:p>
    <w:p w:rsidR="00000000" w:rsidDel="00000000" w:rsidP="00000000" w:rsidRDefault="00000000" w:rsidRPr="00000000" w14:paraId="0000001B">
      <w:pPr>
        <w:spacing w:after="0" w:before="0" w:line="240" w:lineRule="auto"/>
        <w:jc w:val="both"/>
        <w:rPr>
          <w:rFonts w:ascii="Poppins" w:cs="Poppins" w:eastAsia="Poppins" w:hAnsi="Poppins"/>
          <w:color w:val="3e2881"/>
          <w:sz w:val="20"/>
          <w:szCs w:val="20"/>
          <w:highlight w:val="white"/>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rFonts w:ascii="Poppins" w:cs="Poppins" w:eastAsia="Poppins" w:hAnsi="Poppins"/>
          <w:b w:val="1"/>
          <w:bCs w:val="1"/>
          <w:color w:val="c0002d"/>
          <w:sz w:val="26"/>
          <w:szCs w:val="26"/>
          <w:highlight w:val="white"/>
        </w:rPr>
      </w:pPr>
      <w:r w:rsidDel="00000000" w:rsidR="00000000" w:rsidRPr="00000000">
        <w:rPr>
          <w:rFonts w:ascii="Poppins" w:cs="Poppins" w:eastAsia="Poppins" w:hAnsi="Poppins"/>
          <w:b w:val="1"/>
          <w:bCs w:val="1"/>
          <w:color w:val="c0002d"/>
          <w:sz w:val="26"/>
          <w:szCs w:val="26"/>
          <w:highlight w:val="white"/>
          <w:rtl w:val="0"/>
        </w:rPr>
        <w:t xml:space="preserve">Risques professionnels et métiers en mutations</w:t>
      </w:r>
    </w:p>
    <w:p w:rsidR="00000000" w:rsidDel="00000000" w:rsidP="00000000" w:rsidRDefault="00000000" w:rsidRPr="00000000" w14:paraId="0000001D">
      <w:pPr>
        <w:spacing w:after="0" w:before="0" w:line="240" w:lineRule="auto"/>
        <w:jc w:val="both"/>
        <w:rPr>
          <w:rFonts w:ascii="Poppins" w:cs="Poppins" w:eastAsia="Poppins" w:hAnsi="Poppins"/>
          <w:color w:val="3e2881"/>
          <w:sz w:val="20"/>
          <w:szCs w:val="20"/>
          <w:highlight w:val="white"/>
        </w:rPr>
      </w:pPr>
      <w:r w:rsidDel="00000000" w:rsidR="00000000" w:rsidRPr="00000000">
        <w:rPr>
          <w:rtl w:val="0"/>
        </w:rPr>
      </w:r>
    </w:p>
    <w:p w:rsidR="00000000" w:rsidDel="00000000" w:rsidP="00000000" w:rsidRDefault="00000000" w:rsidRPr="00000000" w14:paraId="0000001E">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b w:val="1"/>
          <w:bCs w:val="1"/>
          <w:color w:val="3e2881"/>
          <w:sz w:val="20"/>
          <w:szCs w:val="20"/>
          <w:highlight w:val="white"/>
          <w:rtl w:val="0"/>
        </w:rPr>
        <w:t xml:space="preserve">Les risques psychosociaux (RPS) s’imposent comme le premier risque professionnel déclaré, cité par 81 % des établissements</w:t>
      </w:r>
      <w:r w:rsidDel="00000000" w:rsidR="00000000" w:rsidRPr="00000000">
        <w:rPr>
          <w:rFonts w:ascii="Poppins" w:cs="Poppins" w:eastAsia="Poppins" w:hAnsi="Poppins"/>
          <w:color w:val="3e2881"/>
          <w:sz w:val="20"/>
          <w:szCs w:val="20"/>
          <w:highlight w:val="white"/>
          <w:rtl w:val="0"/>
        </w:rPr>
        <w:t xml:space="preserve">, devant les risques physiques (62 %). Les représentants de branche pointent des facteurs bien identifiés : sous-effectifs, turn-over, évolution des publics accueillis... Plus d’un établissement sur deux déclare s’engager dans des démarches de prévention, une progression notable.</w:t>
      </w:r>
    </w:p>
    <w:p w:rsidR="00000000" w:rsidDel="00000000" w:rsidP="00000000" w:rsidRDefault="00000000" w:rsidRPr="00000000" w14:paraId="0000001F">
      <w:pPr>
        <w:spacing w:after="0" w:before="0" w:line="240" w:lineRule="auto"/>
        <w:jc w:val="both"/>
        <w:rPr>
          <w:rFonts w:ascii="Poppins" w:cs="Poppins" w:eastAsia="Poppins" w:hAnsi="Poppins"/>
          <w:color w:val="3e2881"/>
          <w:sz w:val="20"/>
          <w:szCs w:val="20"/>
          <w:highlight w:val="white"/>
        </w:rPr>
      </w:pPr>
      <w:r w:rsidDel="00000000" w:rsidR="00000000" w:rsidRPr="00000000">
        <w:rPr>
          <w:rtl w:val="0"/>
        </w:rPr>
      </w:r>
    </w:p>
    <w:p w:rsidR="00000000" w:rsidDel="00000000" w:rsidP="00000000" w:rsidRDefault="00000000" w:rsidRPr="00000000" w14:paraId="00000020">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Sur le plan de l’égalité professionnelle, si les femmes représentent 78 % des effectifs globaux, elles ne constituent que </w:t>
      </w:r>
      <w:r w:rsidDel="00000000" w:rsidR="00000000" w:rsidRPr="00000000">
        <w:rPr>
          <w:rFonts w:ascii="Poppins" w:cs="Poppins" w:eastAsia="Poppins" w:hAnsi="Poppins"/>
          <w:b w:val="1"/>
          <w:bCs w:val="1"/>
          <w:color w:val="3e2881"/>
          <w:sz w:val="20"/>
          <w:szCs w:val="20"/>
          <w:highlight w:val="white"/>
          <w:rtl w:val="0"/>
        </w:rPr>
        <w:t xml:space="preserve">68 % des cadres en poste</w:t>
      </w:r>
      <w:r w:rsidDel="00000000" w:rsidR="00000000" w:rsidRPr="00000000">
        <w:rPr>
          <w:rFonts w:ascii="Poppins" w:cs="Poppins" w:eastAsia="Poppins" w:hAnsi="Poppins"/>
          <w:color w:val="3e2881"/>
          <w:sz w:val="20"/>
          <w:szCs w:val="20"/>
          <w:highlight w:val="white"/>
          <w:rtl w:val="0"/>
        </w:rPr>
        <w:t xml:space="preserve"> : un écart persistant aux niveaux direction et direction générale, qui invite à renforcer les politiques d’accès aux responsabilités.</w:t>
      </w:r>
    </w:p>
    <w:p w:rsidR="00000000" w:rsidDel="00000000" w:rsidP="00000000" w:rsidRDefault="00000000" w:rsidRPr="00000000" w14:paraId="00000021">
      <w:pPr>
        <w:spacing w:after="0" w:before="0" w:line="240" w:lineRule="auto"/>
        <w:jc w:val="both"/>
        <w:rPr>
          <w:rFonts w:ascii="Poppins" w:cs="Poppins" w:eastAsia="Poppins" w:hAnsi="Poppins"/>
          <w:color w:val="3e2881"/>
          <w:highlight w:val="white"/>
        </w:rPr>
      </w:pPr>
      <w:r w:rsidDel="00000000" w:rsidR="00000000" w:rsidRPr="00000000">
        <w:rPr>
          <w:rtl w:val="0"/>
        </w:rPr>
      </w:r>
    </w:p>
    <w:p w:rsidR="00000000" w:rsidDel="00000000" w:rsidP="00000000" w:rsidRDefault="00000000" w:rsidRPr="00000000" w14:paraId="00000022">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b w:val="1"/>
          <w:bCs w:val="1"/>
          <w:color w:val="3e2881"/>
          <w:sz w:val="20"/>
          <w:szCs w:val="20"/>
          <w:highlight w:val="white"/>
          <w:rtl w:val="0"/>
        </w:rPr>
        <w:t xml:space="preserve">Enfin, la transformation des métiers s’accélère </w:t>
      </w:r>
      <w:r w:rsidDel="00000000" w:rsidR="00000000" w:rsidRPr="00000000">
        <w:rPr>
          <w:rFonts w:ascii="Poppins" w:cs="Poppins" w:eastAsia="Poppins" w:hAnsi="Poppins"/>
          <w:color w:val="3e2881"/>
          <w:sz w:val="20"/>
          <w:szCs w:val="20"/>
          <w:highlight w:val="white"/>
          <w:rtl w:val="0"/>
        </w:rPr>
        <w:t xml:space="preserve">: métiers liés à la data et à la cybersécurité, responsable qualité</w:t>
      </w:r>
      <w:r w:rsidDel="00000000" w:rsidR="00000000" w:rsidRPr="00000000">
        <w:rPr>
          <w:rFonts w:ascii="Poppins" w:cs="Poppins" w:eastAsia="Poppins" w:hAnsi="Poppins"/>
          <w:color w:val="3e2881"/>
          <w:sz w:val="20"/>
          <w:szCs w:val="20"/>
          <w:rtl w:val="0"/>
        </w:rPr>
        <w:t xml:space="preserve"> </w:t>
      </w:r>
      <w:r w:rsidDel="00000000" w:rsidR="00000000" w:rsidRPr="00000000">
        <w:rPr>
          <w:rFonts w:ascii="Poppins" w:cs="Poppins" w:eastAsia="Poppins" w:hAnsi="Poppins"/>
          <w:color w:val="3e2881"/>
          <w:sz w:val="20"/>
          <w:szCs w:val="20"/>
          <w:rtl w:val="0"/>
        </w:rPr>
        <w:t xml:space="preserve">environnement,</w:t>
      </w:r>
      <w:r w:rsidDel="00000000" w:rsidR="00000000" w:rsidRPr="00000000">
        <w:rPr>
          <w:rFonts w:ascii="Poppins" w:cs="Poppins" w:eastAsia="Poppins" w:hAnsi="Poppins"/>
          <w:color w:val="3e2881"/>
          <w:sz w:val="20"/>
          <w:szCs w:val="20"/>
          <w:rtl w:val="0"/>
        </w:rPr>
        <w:t xml:space="preserve"> </w:t>
      </w:r>
      <w:r w:rsidDel="00000000" w:rsidR="00000000" w:rsidRPr="00000000">
        <w:rPr>
          <w:rFonts w:ascii="Poppins" w:cs="Poppins" w:eastAsia="Poppins" w:hAnsi="Poppins"/>
          <w:color w:val="3e2881"/>
          <w:sz w:val="20"/>
          <w:szCs w:val="20"/>
          <w:highlight w:val="white"/>
          <w:rtl w:val="0"/>
        </w:rPr>
        <w:t xml:space="preserve">ou encore les métiers de la communication, émergent dans les trois branches, témoignant d’une capacité d’adaptation et d’innovation des organisations.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0" w:before="0" w:line="240" w:lineRule="auto"/>
        <w:jc w:val="both"/>
        <w:rPr>
          <w:rFonts w:ascii="Poppins" w:cs="Poppins" w:eastAsia="Poppins" w:hAnsi="Poppins"/>
          <w:color w:val="4b2b72"/>
          <w:highlight w:val="white"/>
        </w:rPr>
      </w:pPr>
      <w:r w:rsidDel="00000000" w:rsidR="00000000" w:rsidRPr="00000000">
        <w:rPr>
          <w:rtl w:val="0"/>
        </w:rPr>
      </w:r>
    </w:p>
    <w:p w:rsidR="00000000" w:rsidDel="00000000" w:rsidP="00000000" w:rsidRDefault="00000000" w:rsidRPr="00000000" w14:paraId="00000024">
      <w:pPr>
        <w:spacing w:after="0" w:before="0" w:line="240" w:lineRule="auto"/>
        <w:jc w:val="both"/>
        <w:rPr>
          <w:rFonts w:ascii="Poppins" w:cs="Poppins" w:eastAsia="Poppins" w:hAnsi="Poppins"/>
          <w:b w:val="1"/>
          <w:bCs w:val="1"/>
          <w:color w:val="3e2881"/>
          <w:highlight w:val="white"/>
        </w:rPr>
      </w:pPr>
      <w:r w:rsidDel="00000000" w:rsidR="00000000" w:rsidRPr="00000000">
        <w:rPr>
          <w:rFonts w:ascii="Poppins" w:cs="Poppins" w:eastAsia="Poppins" w:hAnsi="Poppins"/>
          <w:b w:val="1"/>
          <w:bCs w:val="1"/>
          <w:color w:val="3e2881"/>
          <w:highlight w:val="white"/>
          <w:rtl w:val="0"/>
        </w:rPr>
        <w:t xml:space="preserve">Note méthodologique</w:t>
      </w:r>
    </w:p>
    <w:p w:rsidR="00000000" w:rsidDel="00000000" w:rsidP="00000000" w:rsidRDefault="00000000" w:rsidRPr="00000000" w14:paraId="00000025">
      <w:pPr>
        <w:spacing w:after="0" w:before="0" w:line="240" w:lineRule="auto"/>
        <w:jc w:val="both"/>
        <w:rPr>
          <w:rFonts w:ascii="Poppins" w:cs="Poppins" w:eastAsia="Poppins" w:hAnsi="Poppins"/>
          <w:b w:val="1"/>
          <w:bCs w:val="1"/>
          <w:color w:val="3e2881"/>
          <w:sz w:val="6"/>
          <w:szCs w:val="6"/>
          <w:highlight w:val="white"/>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15"/>
        <w:tblGridChange w:id="0">
          <w:tblGrid>
            <w:gridCol w:w="9015"/>
          </w:tblGrid>
        </w:tblGridChange>
      </w:tblGrid>
      <w:tr>
        <w:trPr>
          <w:cantSplit w:val="0"/>
          <w:trHeight w:val="489.03614457831327" w:hRule="atLeast"/>
          <w:tblHeader w:val="0"/>
        </w:trPr>
        <w:tc>
          <w:tcPr>
            <w:tcBorders>
              <w:top w:color="dddddd" w:space="0" w:sz="7" w:val="single"/>
              <w:left w:color="dddddd" w:space="0" w:sz="7" w:val="single"/>
              <w:bottom w:color="dddddd" w:space="0" w:sz="7" w:val="single"/>
              <w:right w:color="dddddd" w:space="0" w:sz="7" w:val="single"/>
            </w:tcBorders>
            <w:tcMar>
              <w:top w:w="80.0" w:type="dxa"/>
              <w:left w:w="160.0" w:type="dxa"/>
              <w:bottom w:w="80.0" w:type="dxa"/>
              <w:right w:w="160.0" w:type="dxa"/>
            </w:tcMar>
            <w:vAlign w:val="top"/>
          </w:tcPr>
          <w:p w:rsidR="00000000" w:rsidDel="00000000" w:rsidP="00000000" w:rsidRDefault="00000000" w:rsidRPr="00000000" w14:paraId="00000026">
            <w:pPr>
              <w:spacing w:after="0" w:before="0" w:line="240" w:lineRule="auto"/>
              <w:jc w:val="both"/>
              <w:rPr>
                <w:rFonts w:ascii="Poppins" w:cs="Poppins" w:eastAsia="Poppins" w:hAnsi="Poppins"/>
                <w:b w:val="1"/>
                <w:bCs w:val="1"/>
                <w:color w:val="3e2881"/>
                <w:sz w:val="20"/>
                <w:szCs w:val="20"/>
                <w:highlight w:val="white"/>
              </w:rPr>
            </w:pPr>
            <w:r w:rsidDel="00000000" w:rsidR="00000000" w:rsidRPr="00000000">
              <w:rPr>
                <w:rFonts w:ascii="Poppins" w:cs="Poppins" w:eastAsia="Poppins" w:hAnsi="Poppins"/>
                <w:b w:val="1"/>
                <w:bCs w:val="1"/>
                <w:color w:val="3e2881"/>
                <w:sz w:val="20"/>
                <w:szCs w:val="20"/>
                <w:highlight w:val="white"/>
                <w:rtl w:val="0"/>
              </w:rPr>
              <w:t xml:space="preserve">Le Baromètre Emploi-Formation 2025 repose sur trois volets complémentaires :</w:t>
            </w:r>
          </w:p>
        </w:tc>
      </w:tr>
      <w:tr>
        <w:trPr>
          <w:cantSplit w:val="0"/>
          <w:trHeight w:val="740.9638554216867" w:hRule="atLeast"/>
          <w:tblHeader w:val="0"/>
        </w:trPr>
        <w:tc>
          <w:tcPr>
            <w:tcBorders>
              <w:top w:color="000000" w:space="0" w:sz="0" w:val="nil"/>
              <w:left w:color="dddddd" w:space="0" w:sz="7" w:val="single"/>
              <w:bottom w:color="dddddd" w:space="0" w:sz="7" w:val="single"/>
              <w:right w:color="dddddd" w:space="0" w:sz="7" w:val="single"/>
            </w:tcBorders>
            <w:tcMar>
              <w:top w:w="80.0" w:type="dxa"/>
              <w:left w:w="160.0" w:type="dxa"/>
              <w:bottom w:w="80.0" w:type="dxa"/>
              <w:right w:w="160.0" w:type="dxa"/>
            </w:tcMar>
            <w:vAlign w:val="top"/>
          </w:tcPr>
          <w:p w:rsidR="00000000" w:rsidDel="00000000" w:rsidP="00000000" w:rsidRDefault="00000000" w:rsidRPr="00000000" w14:paraId="00000027">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  Une enquête établissements : photographie des emplois au 31 décembre 2024 — 6 612 établissements participants sur base fiabilisée (taux de participation : 21 %).</w:t>
            </w:r>
          </w:p>
        </w:tc>
      </w:tr>
      <w:tr>
        <w:trPr>
          <w:cantSplit w:val="0"/>
          <w:trHeight w:val="740.9638554216867" w:hRule="atLeast"/>
          <w:tblHeader w:val="0"/>
        </w:trPr>
        <w:tc>
          <w:tcPr>
            <w:tcBorders>
              <w:top w:color="000000" w:space="0" w:sz="0" w:val="nil"/>
              <w:left w:color="dddddd" w:space="0" w:sz="7" w:val="single"/>
              <w:bottom w:color="dddddd" w:space="0" w:sz="7" w:val="single"/>
              <w:right w:color="dddddd" w:space="0" w:sz="7" w:val="single"/>
            </w:tcBorders>
            <w:tcMar>
              <w:top w:w="80.0" w:type="dxa"/>
              <w:left w:w="160.0" w:type="dxa"/>
              <w:bottom w:w="80.0" w:type="dxa"/>
              <w:right w:w="160.0" w:type="dxa"/>
            </w:tcMar>
            <w:vAlign w:val="top"/>
          </w:tcPr>
          <w:p w:rsidR="00000000" w:rsidDel="00000000" w:rsidP="00000000" w:rsidRDefault="00000000" w:rsidRPr="00000000" w14:paraId="00000028">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  Une compilation de données statistiques issues de la statistique publique et des données formation de l’OPCO Santé.</w:t>
            </w:r>
          </w:p>
        </w:tc>
      </w:tr>
      <w:tr>
        <w:trPr>
          <w:cantSplit w:val="0"/>
          <w:trHeight w:val="740.9638554216867" w:hRule="atLeast"/>
          <w:tblHeader w:val="0"/>
        </w:trPr>
        <w:tc>
          <w:tcPr>
            <w:tcBorders>
              <w:top w:color="000000" w:space="0" w:sz="0" w:val="nil"/>
              <w:left w:color="dddddd" w:space="0" w:sz="7" w:val="single"/>
              <w:bottom w:color="dddddd" w:space="0" w:sz="7" w:val="single"/>
              <w:right w:color="dddddd" w:space="0" w:sz="7" w:val="single"/>
            </w:tcBorders>
            <w:tcMar>
              <w:top w:w="80.0" w:type="dxa"/>
              <w:left w:w="160.0" w:type="dxa"/>
              <w:bottom w:w="80.0" w:type="dxa"/>
              <w:right w:w="160.0" w:type="dxa"/>
            </w:tcMar>
            <w:vAlign w:val="top"/>
          </w:tcPr>
          <w:p w:rsidR="00000000" w:rsidDel="00000000" w:rsidP="00000000" w:rsidRDefault="00000000" w:rsidRPr="00000000" w14:paraId="00000029">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  Des approfondissements qualitatifs via des entretiens avec des experts et représentants de branches (fédérations et syndicats de salariés).</w:t>
            </w:r>
          </w:p>
        </w:tc>
      </w:tr>
      <w:tr>
        <w:trPr>
          <w:cantSplit w:val="0"/>
          <w:trHeight w:val="1037.3493975903616" w:hRule="atLeast"/>
          <w:tblHeader w:val="0"/>
        </w:trPr>
        <w:tc>
          <w:tcPr>
            <w:tcBorders>
              <w:top w:color="000000" w:space="0" w:sz="0" w:val="nil"/>
              <w:left w:color="dddddd" w:space="0" w:sz="7" w:val="single"/>
              <w:bottom w:color="dddddd" w:space="0" w:sz="7" w:val="single"/>
              <w:right w:color="dddddd" w:space="0" w:sz="7" w:val="single"/>
            </w:tcBorders>
            <w:tcMar>
              <w:top w:w="80.0" w:type="dxa"/>
              <w:left w:w="160.0" w:type="dxa"/>
              <w:bottom w:w="80.0" w:type="dxa"/>
              <w:right w:w="160.0" w:type="dxa"/>
            </w:tcMar>
            <w:vAlign w:val="top"/>
          </w:tcPr>
          <w:p w:rsidR="00000000" w:rsidDel="00000000" w:rsidP="00000000" w:rsidRDefault="00000000" w:rsidRPr="00000000" w14:paraId="0000002A">
            <w:pPr>
              <w:spacing w:after="0" w:before="0" w:line="240" w:lineRule="auto"/>
              <w:jc w:val="both"/>
              <w:rPr>
                <w:rFonts w:ascii="Poppins" w:cs="Poppins" w:eastAsia="Poppins" w:hAnsi="Poppins"/>
                <w:color w:val="3e2881"/>
                <w:sz w:val="20"/>
                <w:szCs w:val="20"/>
                <w:highlight w:val="white"/>
              </w:rPr>
            </w:pPr>
            <w:r w:rsidDel="00000000" w:rsidR="00000000" w:rsidRPr="00000000">
              <w:rPr>
                <w:rFonts w:ascii="Poppins" w:cs="Poppins" w:eastAsia="Poppins" w:hAnsi="Poppins"/>
                <w:color w:val="3e2881"/>
                <w:sz w:val="20"/>
                <w:szCs w:val="20"/>
                <w:highlight w:val="white"/>
                <w:rtl w:val="0"/>
              </w:rPr>
              <w:t xml:space="preserve">Périmètre : secteur sanitaire, social et médico-social à but non lucratif (SMS, 76,4 %), hospitalisation privée (HP, 22 %) et services de prévention et santé au travail interentreprises (SPSTI, 1,6 %).</w:t>
            </w:r>
          </w:p>
        </w:tc>
      </w:tr>
    </w:tbl>
    <w:p w:rsidR="00000000" w:rsidDel="00000000" w:rsidP="00000000" w:rsidRDefault="00000000" w:rsidRPr="00000000" w14:paraId="0000002B">
      <w:pPr>
        <w:spacing w:after="0" w:before="0" w:line="240" w:lineRule="auto"/>
        <w:jc w:val="both"/>
        <w:rPr>
          <w:rFonts w:ascii="Poppins" w:cs="Poppins" w:eastAsia="Poppins" w:hAnsi="Poppins"/>
          <w:color w:val="4b2b72"/>
          <w:sz w:val="20"/>
          <w:szCs w:val="20"/>
          <w:highlight w:val="white"/>
        </w:rPr>
      </w:pPr>
      <w:r w:rsidDel="00000000" w:rsidR="00000000" w:rsidRPr="00000000">
        <w:rPr>
          <w:rFonts w:ascii="Poppins" w:cs="Poppins" w:eastAsia="Poppins" w:hAnsi="Poppins"/>
          <w:color w:val="4b2b72"/>
          <w:sz w:val="20"/>
          <w:szCs w:val="20"/>
          <w:highlight w:val="white"/>
          <w:rtl w:val="0"/>
        </w:rPr>
        <w:t xml:space="preserve"> </w:t>
      </w:r>
    </w:p>
    <w:p w:rsidR="00000000" w:rsidDel="00000000" w:rsidP="00000000" w:rsidRDefault="00000000" w:rsidRPr="00000000" w14:paraId="0000002C">
      <w:pPr>
        <w:spacing w:after="0" w:before="0" w:line="240" w:lineRule="auto"/>
        <w:jc w:val="both"/>
        <w:rPr>
          <w:rFonts w:ascii="Poppins" w:cs="Poppins" w:eastAsia="Poppins" w:hAnsi="Poppins"/>
          <w:color w:val="3e2881"/>
        </w:rPr>
      </w:pPr>
      <w:r w:rsidDel="00000000" w:rsidR="00000000" w:rsidRPr="00000000">
        <w:rPr>
          <w:rFonts w:ascii="Poppins" w:cs="Poppins" w:eastAsia="Poppins" w:hAnsi="Poppins"/>
          <w:color w:val="3e2881"/>
          <w:rtl w:val="0"/>
        </w:rPr>
        <w:t xml:space="preserve">******</w:t>
      </w:r>
    </w:p>
    <w:p w:rsidR="00000000" w:rsidDel="00000000" w:rsidP="00000000" w:rsidRDefault="00000000" w:rsidRPr="00000000" w14:paraId="0000002D">
      <w:pPr>
        <w:spacing w:after="0" w:before="0" w:line="240" w:lineRule="auto"/>
        <w:jc w:val="both"/>
        <w:rPr>
          <w:rFonts w:ascii="Poppins" w:cs="Poppins" w:eastAsia="Poppins" w:hAnsi="Poppins"/>
          <w:b w:val="1"/>
          <w:bCs w:val="1"/>
          <w:color w:val="3e2881"/>
          <w:sz w:val="15"/>
          <w:szCs w:val="15"/>
        </w:rPr>
      </w:pPr>
      <w:r w:rsidDel="00000000" w:rsidR="00000000" w:rsidRPr="00000000">
        <w:rPr>
          <w:rFonts w:ascii="Poppins" w:cs="Poppins" w:eastAsia="Poppins" w:hAnsi="Poppins"/>
          <w:b w:val="1"/>
          <w:bCs w:val="1"/>
          <w:color w:val="3e2881"/>
          <w:sz w:val="15"/>
          <w:szCs w:val="15"/>
          <w:rtl w:val="0"/>
        </w:rPr>
        <w:t xml:space="preserve">À propos de l’OPCO Santé</w:t>
      </w:r>
    </w:p>
    <w:p w:rsidR="00000000" w:rsidDel="00000000" w:rsidP="00000000" w:rsidRDefault="00000000" w:rsidRPr="00000000" w14:paraId="0000002E">
      <w:pPr>
        <w:spacing w:after="0" w:before="0" w:line="240" w:lineRule="auto"/>
        <w:jc w:val="both"/>
        <w:rPr>
          <w:rFonts w:ascii="Poppins" w:cs="Poppins" w:eastAsia="Poppins" w:hAnsi="Poppins"/>
        </w:rPr>
      </w:pPr>
      <w:r w:rsidDel="00000000" w:rsidR="00000000" w:rsidRPr="00000000">
        <w:rPr>
          <w:rFonts w:ascii="Poppins" w:cs="Poppins" w:eastAsia="Poppins" w:hAnsi="Poppins"/>
          <w:color w:val="4b2b72"/>
          <w:sz w:val="15"/>
          <w:szCs w:val="15"/>
          <w:rtl w:val="0"/>
        </w:rPr>
        <w:t xml:space="preserve">L’OPCO Santé, agréé en qualité d’opérateur de compétences (OPCO) depuis le 1er avril 2019, soutient le secteur sanitaire, social et médico-social privé à but non-lucratif,  la branche de l’hospitalisation privée et celle des services de prévention et de santé au travail interentreprises. L’OPCO Santé les accompagne dans l’analyse de leurs besoins emploi formation et leur propose des solutions innovantes pour développer les compétences et les qualifications  des professionnels et l’alternance comme voie d’accès au secteur. Il leur assure aussi un service de proximité afin d’améliorer l’information et l’accès à la formation des salariés, en particulier pour les TPE-PME. Il apporte un appui technique aux branches professionnelles pour anticiper les mutations à venir et développer les certifications. L’OPCO Santé compte près de 400 salariés répartis à travers 25 sites régionaux en France et en Outre-Mer au service de près de 10 000 adhérents employant 1,16 million de salariés. </w:t>
      </w:r>
      <w:hyperlink r:id="rId7">
        <w:r w:rsidDel="00000000" w:rsidR="00000000" w:rsidRPr="00000000">
          <w:rPr>
            <w:rFonts w:ascii="Poppins" w:cs="Poppins" w:eastAsia="Poppins" w:hAnsi="Poppins"/>
            <w:color w:val="1155cc"/>
            <w:sz w:val="15"/>
            <w:szCs w:val="15"/>
            <w:u w:val="single"/>
            <w:rtl w:val="0"/>
          </w:rPr>
          <w:t xml:space="preserve">https://www.opco-sante.fr</w:t>
        </w:r>
      </w:hyperlink>
      <w:r w:rsidDel="00000000" w:rsidR="00000000" w:rsidRPr="00000000">
        <w:rPr>
          <w:rtl w:val="0"/>
        </w:rPr>
      </w:r>
    </w:p>
    <w:p w:rsidR="00000000" w:rsidDel="00000000" w:rsidP="00000000" w:rsidRDefault="00000000" w:rsidRPr="00000000" w14:paraId="0000002F">
      <w:pPr>
        <w:spacing w:after="0" w:before="0" w:line="240" w:lineRule="auto"/>
        <w:jc w:val="both"/>
        <w:rPr>
          <w:rFonts w:ascii="Poppins" w:cs="Poppins" w:eastAsia="Poppins" w:hAnsi="Poppins"/>
          <w:color w:val="4b2b72"/>
          <w:sz w:val="15"/>
          <w:szCs w:val="15"/>
        </w:rPr>
      </w:pPr>
      <w:r w:rsidDel="00000000" w:rsidR="00000000" w:rsidRPr="00000000">
        <w:rPr>
          <w:rFonts w:ascii="Poppins" w:cs="Poppins" w:eastAsia="Poppins" w:hAnsi="Poppins"/>
          <w:b w:val="1"/>
          <w:bCs w:val="1"/>
          <w:color w:val="4b2b72"/>
          <w:sz w:val="15"/>
          <w:szCs w:val="15"/>
          <w:rtl w:val="0"/>
        </w:rPr>
        <w:t xml:space="preserve">Contact presse :</w:t>
      </w:r>
      <w:r w:rsidDel="00000000" w:rsidR="00000000" w:rsidRPr="00000000">
        <w:rPr>
          <w:rFonts w:ascii="Poppins" w:cs="Poppins" w:eastAsia="Poppins" w:hAnsi="Poppins"/>
          <w:color w:val="4b2b72"/>
          <w:sz w:val="15"/>
          <w:szCs w:val="15"/>
          <w:rtl w:val="0"/>
        </w:rPr>
        <w:t xml:space="preserve"> Pierre-Jean Périn - La Nouvelle Agence - </w:t>
      </w:r>
      <w:hyperlink r:id="rId8">
        <w:r w:rsidDel="00000000" w:rsidR="00000000" w:rsidRPr="00000000">
          <w:rPr>
            <w:rFonts w:ascii="Poppins" w:cs="Poppins" w:eastAsia="Poppins" w:hAnsi="Poppins"/>
            <w:color w:val="1155cc"/>
            <w:sz w:val="15"/>
            <w:szCs w:val="15"/>
            <w:u w:val="single"/>
            <w:rtl w:val="0"/>
          </w:rPr>
          <w:t xml:space="preserve">pierre-jean@lanouvelle-agence.com</w:t>
        </w:r>
      </w:hyperlink>
      <w:r w:rsidDel="00000000" w:rsidR="00000000" w:rsidRPr="00000000">
        <w:rPr>
          <w:rFonts w:ascii="Poppins" w:cs="Poppins" w:eastAsia="Poppins" w:hAnsi="Poppins"/>
          <w:color w:val="4b2b72"/>
          <w:sz w:val="15"/>
          <w:szCs w:val="15"/>
          <w:rtl w:val="0"/>
        </w:rPr>
        <w:t xml:space="preserve"> 06 03 52 29 08</w:t>
      </w:r>
    </w:p>
    <w:sectPr>
      <w:headerReference r:id="rId9" w:type="default"/>
      <w:headerReference r:id="rId10" w:type="first"/>
      <w:headerReference r:id="rId11" w:type="even"/>
      <w:footerReference r:id="rId12" w:type="default"/>
      <w:footerReference r:id="rId13" w:type="first"/>
      <w:footerReference r:id="rId14"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5" w:lineRule="auto"/>
      <w:ind w:left="-283" w:right="-324" w:firstLine="0"/>
      <w:rPr>
        <w:rFonts w:ascii="Century Gothic" w:cs="Century Gothic" w:eastAsia="Century Gothic" w:hAnsi="Century Gothic"/>
        <w:b w:val="1"/>
        <w:bCs w:val="1"/>
        <w:color w:val="3e2881"/>
        <w:sz w:val="18"/>
        <w:szCs w:val="18"/>
      </w:rPr>
    </w:pPr>
    <w:r w:rsidDel="00000000" w:rsidR="00000000" w:rsidRPr="00000000">
      <w:rPr>
        <w:rFonts w:ascii="Century Gothic" w:cs="Century Gothic" w:eastAsia="Century Gothic" w:hAnsi="Century Gothic"/>
        <w:b w:val="1"/>
        <w:bCs w:val="1"/>
        <w:color w:val="4b2b72"/>
        <w:sz w:val="18"/>
        <w:szCs w:val="18"/>
        <w:rtl w:val="0"/>
      </w:rPr>
      <w:t xml:space="preserve">Contact Presse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5043488</wp:posOffset>
          </wp:positionH>
          <wp:positionV relativeFrom="paragraph">
            <wp:posOffset>-371467</wp:posOffset>
          </wp:positionV>
          <wp:extent cx="871538" cy="871538"/>
          <wp:effectExtent b="0" l="0" r="0" t="0"/>
          <wp:wrapNone/>
          <wp:docPr descr="Le nouveau site de l'OPCO Santé (UNIFAF) est en ligne ! - PERSPECTIVE" id="14" name="image1.png"/>
          <a:graphic>
            <a:graphicData uri="http://schemas.openxmlformats.org/drawingml/2006/picture">
              <pic:pic>
                <pic:nvPicPr>
                  <pic:cNvPr descr="Le nouveau site de l'OPCO Santé (UNIFAF) est en ligne ! - PERSPECTIVE" id="0" name="image1.png"/>
                  <pic:cNvPicPr preferRelativeResize="0"/>
                </pic:nvPicPr>
                <pic:blipFill>
                  <a:blip r:embed="rId1"/>
                  <a:srcRect b="0" l="0" r="0" t="0"/>
                  <a:stretch>
                    <a:fillRect/>
                  </a:stretch>
                </pic:blipFill>
                <pic:spPr>
                  <a:xfrm>
                    <a:off x="0" y="0"/>
                    <a:ext cx="871538" cy="871538"/>
                  </a:xfrm>
                  <a:prstGeom prst="rect"/>
                  <a:ln/>
                </pic:spPr>
              </pic:pic>
            </a:graphicData>
          </a:graphic>
        </wp:anchor>
      </w:drawing>
    </w:r>
  </w:p>
  <w:p w:rsidR="00000000" w:rsidDel="00000000" w:rsidP="00000000" w:rsidRDefault="00000000" w:rsidRPr="00000000" w14:paraId="00000031">
    <w:pPr>
      <w:spacing w:after="5" w:lineRule="auto"/>
      <w:ind w:left="-283" w:right="-324" w:firstLine="0"/>
      <w:rPr>
        <w:rFonts w:ascii="Century Gothic" w:cs="Century Gothic" w:eastAsia="Century Gothic" w:hAnsi="Century Gothic"/>
        <w:b w:val="1"/>
        <w:bCs w:val="1"/>
        <w:color w:val="3e2881"/>
        <w:sz w:val="18"/>
        <w:szCs w:val="18"/>
      </w:rPr>
    </w:pPr>
    <w:r w:rsidDel="00000000" w:rsidR="00000000" w:rsidRPr="00000000">
      <w:rPr>
        <w:rFonts w:ascii="Century Gothic" w:cs="Century Gothic" w:eastAsia="Century Gothic" w:hAnsi="Century Gothic"/>
        <w:b w:val="1"/>
        <w:bCs w:val="1"/>
        <w:color w:val="3e2881"/>
        <w:sz w:val="18"/>
        <w:szCs w:val="18"/>
        <w:rtl w:val="0"/>
      </w:rPr>
      <w:t xml:space="preserve">La Nouvelle Agence - Pierre-Jean Périn</w:t>
    </w:r>
  </w:p>
  <w:p w:rsidR="00000000" w:rsidDel="00000000" w:rsidP="00000000" w:rsidRDefault="00000000" w:rsidRPr="00000000" w14:paraId="00000032">
    <w:pPr>
      <w:spacing w:after="5" w:lineRule="auto"/>
      <w:ind w:left="-283" w:right="-324" w:firstLine="0"/>
      <w:rPr>
        <w:rFonts w:ascii="Century Gothic" w:cs="Century Gothic" w:eastAsia="Century Gothic" w:hAnsi="Century Gothic"/>
        <w:color w:val="3e2881"/>
      </w:rPr>
    </w:pPr>
    <w:hyperlink r:id="rId2">
      <w:r w:rsidDel="00000000" w:rsidR="00000000" w:rsidRPr="00000000">
        <w:rPr>
          <w:rFonts w:ascii="Century Gothic" w:cs="Century Gothic" w:eastAsia="Century Gothic" w:hAnsi="Century Gothic"/>
          <w:color w:val="1155cc"/>
          <w:sz w:val="18"/>
          <w:szCs w:val="18"/>
          <w:u w:val="single"/>
          <w:rtl w:val="0"/>
        </w:rPr>
        <w:t xml:space="preserve">pierre-jean@lanouvelle-agence.com</w:t>
      </w:r>
    </w:hyperlink>
    <w:r w:rsidDel="00000000" w:rsidR="00000000" w:rsidRPr="00000000">
      <w:rPr>
        <w:rFonts w:ascii="Century Gothic" w:cs="Century Gothic" w:eastAsia="Century Gothic" w:hAnsi="Century Gothic"/>
        <w:color w:val="3e2881"/>
        <w:sz w:val="18"/>
        <w:szCs w:val="18"/>
        <w:rtl w:val="0"/>
      </w:rPr>
      <w:t xml:space="preserve"> 06 03 52 29 08</w:t>
      <w:br w:type="textWrapping"/>
      <w:br w:type="textWrapp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-953915</wp:posOffset>
              </wp:positionH>
              <wp:positionV relativeFrom="paragraph">
                <wp:posOffset>295942</wp:posOffset>
              </wp:positionV>
              <wp:extent cx="7639368" cy="456211"/>
              <wp:effectExtent b="0" l="0" r="0" t="0"/>
              <wp:wrapNone/>
              <wp:docPr id="13" name=""/>
              <a:graphic>
                <a:graphicData uri="http://schemas.microsoft.com/office/word/2010/wordprocessingShape">
                  <wps:wsp>
                    <wps:cNvSpPr/>
                    <wps:cNvPr id="2" name="Shape 2"/>
                    <wps:spPr>
                      <a:xfrm>
                        <a:off x="1121250" y="3547200"/>
                        <a:ext cx="8449500" cy="465600"/>
                      </a:xfrm>
                      <a:prstGeom prst="rect">
                        <a:avLst/>
                      </a:prstGeom>
                      <a:solidFill>
                        <a:srgbClr val="EFEEF2"/>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entury Gothic" w:cs="Century Gothic" w:eastAsia="Century Gothic" w:hAnsi="Century Gothic"/>
                              <w:b w:val="1"/>
                              <w:i w:val="0"/>
                              <w:smallCaps w:val="0"/>
                              <w:strike w:val="0"/>
                              <w:color w:val="351c75"/>
                              <w:sz w:val="21"/>
                              <w:vertAlign w:val="baseline"/>
                            </w:rPr>
                            <w:t xml:space="preserve">COMMUNIQUE DE PRESSE</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-953915</wp:posOffset>
              </wp:positionH>
              <wp:positionV relativeFrom="paragraph">
                <wp:posOffset>295942</wp:posOffset>
              </wp:positionV>
              <wp:extent cx="7639368" cy="456211"/>
              <wp:effectExtent b="0" l="0" r="0" t="0"/>
              <wp:wrapNone/>
              <wp:docPr id="13"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7639368" cy="456211"/>
                      </a:xfrm>
                      <a:prstGeom prst="rect"/>
                      <a:ln/>
                    </pic:spPr>
                  </pic:pic>
                </a:graphicData>
              </a:graphic>
            </wp:anchor>
          </w:drawing>
        </mc:Fallback>
      </mc:AlternateContent>
    </w:r>
  </w:p>
  <w:p w:rsidR="00000000" w:rsidDel="00000000" w:rsidP="00000000" w:rsidRDefault="00000000" w:rsidRPr="00000000" w14:paraId="00000033">
    <w:pPr>
      <w:spacing w:after="5" w:lineRule="auto"/>
      <w:ind w:left="-283" w:right="-324"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Marquedecommentaire">
    <w:name w:val="annotation reference"/>
    <w:basedOn w:val="Policepardfaut"/>
    <w:uiPriority w:val="99"/>
    <w:semiHidden w:val="1"/>
    <w:unhideWhenUsed w:val="1"/>
    <w:rsid w:val="00664ABC"/>
    <w:rPr>
      <w:sz w:val="16"/>
      <w:szCs w:val="16"/>
    </w:rPr>
  </w:style>
  <w:style w:type="paragraph" w:styleId="Commentaire">
    <w:name w:val="annotation text"/>
    <w:basedOn w:val="Normal"/>
    <w:link w:val="CommentaireCar"/>
    <w:uiPriority w:val="99"/>
    <w:unhideWhenUsed w:val="1"/>
    <w:rsid w:val="00664ABC"/>
    <w:pPr>
      <w:spacing w:line="240" w:lineRule="auto"/>
    </w:pPr>
    <w:rPr>
      <w:sz w:val="20"/>
      <w:szCs w:val="20"/>
    </w:rPr>
  </w:style>
  <w:style w:type="character" w:styleId="CommentaireCar" w:customStyle="1">
    <w:name w:val="Commentaire Car"/>
    <w:basedOn w:val="Policepardfaut"/>
    <w:link w:val="Commentaire"/>
    <w:uiPriority w:val="99"/>
    <w:rsid w:val="00664ABC"/>
    <w:rPr>
      <w:sz w:val="20"/>
      <w:szCs w:val="20"/>
    </w:rPr>
  </w:style>
  <w:style w:type="paragraph" w:styleId="Objetducommentaire">
    <w:name w:val="annotation subject"/>
    <w:basedOn w:val="Commentaire"/>
    <w:next w:val="Commentaire"/>
    <w:link w:val="ObjetducommentaireCar"/>
    <w:uiPriority w:val="99"/>
    <w:semiHidden w:val="1"/>
    <w:unhideWhenUsed w:val="1"/>
    <w:rsid w:val="00664ABC"/>
    <w:rPr>
      <w:b w:val="1"/>
      <w:bCs w:val="1"/>
    </w:rPr>
  </w:style>
  <w:style w:type="character" w:styleId="ObjetducommentaireCar" w:customStyle="1">
    <w:name w:val="Objet du commentaire Car"/>
    <w:basedOn w:val="CommentaireCar"/>
    <w:link w:val="Objetducommentaire"/>
    <w:uiPriority w:val="99"/>
    <w:semiHidden w:val="1"/>
    <w:rsid w:val="00664ABC"/>
    <w:rPr>
      <w:b w:val="1"/>
      <w:bCs w:val="1"/>
      <w:sz w:val="20"/>
      <w:szCs w:val="20"/>
    </w:rPr>
  </w:style>
  <w:style w:type="paragraph" w:styleId="En-tte">
    <w:name w:val="header"/>
    <w:basedOn w:val="Normal"/>
    <w:link w:val="En-tteCar"/>
    <w:uiPriority w:val="99"/>
    <w:unhideWhenUsed w:val="1"/>
    <w:rsid w:val="008639CC"/>
    <w:pPr>
      <w:tabs>
        <w:tab w:val="center" w:pos="4536"/>
        <w:tab w:val="right" w:pos="9072"/>
      </w:tabs>
      <w:spacing w:line="240" w:lineRule="auto"/>
    </w:pPr>
  </w:style>
  <w:style w:type="character" w:styleId="En-tteCar" w:customStyle="1">
    <w:name w:val="En-tête Car"/>
    <w:basedOn w:val="Policepardfaut"/>
    <w:link w:val="En-tte"/>
    <w:uiPriority w:val="99"/>
    <w:rsid w:val="008639CC"/>
  </w:style>
  <w:style w:type="paragraph" w:styleId="Pieddepage">
    <w:name w:val="footer"/>
    <w:basedOn w:val="Normal"/>
    <w:link w:val="PieddepageCar"/>
    <w:uiPriority w:val="99"/>
    <w:unhideWhenUsed w:val="1"/>
    <w:rsid w:val="008639CC"/>
    <w:pPr>
      <w:tabs>
        <w:tab w:val="center" w:pos="4536"/>
        <w:tab w:val="right" w:pos="9072"/>
      </w:tabs>
      <w:spacing w:line="240" w:lineRule="auto"/>
    </w:pPr>
  </w:style>
  <w:style w:type="character" w:styleId="PieddepageCar" w:customStyle="1">
    <w:name w:val="Pied de page Car"/>
    <w:basedOn w:val="Policepardfaut"/>
    <w:link w:val="Pieddepage"/>
    <w:uiPriority w:val="99"/>
    <w:rsid w:val="008639CC"/>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pco-sante.fr/accueil" TargetMode="External"/><Relationship Id="rId8" Type="http://schemas.openxmlformats.org/officeDocument/2006/relationships/hyperlink" Target="mailto:pierre-jean@lanouvelle-agenc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pierre-jean@lanouvelle-agence.com"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ozH6pBSR8hUoHLFuB9meuYgcGA==">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2025-11-13T21:02:00Z</dcterms:created>
  <dc:creator>Sarah GERVOIS LEMOINE</dc:creator>
</cp:coreProperties>
</file>